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24DA" w14:textId="77777777" w:rsidR="00D36964" w:rsidRDefault="007726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A54F2" wp14:editId="22699CE3">
            <wp:extent cx="5943600" cy="56197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913E" w14:textId="77777777" w:rsidR="00D36964" w:rsidRDefault="00D369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EFCD64" w14:textId="77777777" w:rsidR="00D36964" w:rsidRDefault="007726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Abstracts &amp; Papers</w:t>
      </w:r>
    </w:p>
    <w:p w14:paraId="4BA75550" w14:textId="77777777" w:rsidR="00D36964" w:rsidRDefault="007726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2020 IISE Annual Conference &amp; Expo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Hyatt Regency New Orleans, New Orleans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Louisiana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May 30 – June 2, 2020</w:t>
      </w:r>
    </w:p>
    <w:p w14:paraId="6D80ABB0" w14:textId="77777777" w:rsidR="00D36964" w:rsidRDefault="007726F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Track: Energy Systems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Abstract/Paper Submission Website: </w:t>
      </w:r>
      <w:hyperlink r:id="rId6">
        <w:r>
          <w:rPr>
            <w:rStyle w:val="InternetLink"/>
            <w:rFonts w:ascii="Times New Roman" w:eastAsia="Times New Roman" w:hAnsi="Times New Roman" w:cs="Times New Roman"/>
            <w:color w:val="0000FF"/>
            <w:sz w:val="24"/>
            <w:szCs w:val="24"/>
          </w:rPr>
          <w:t>http://conferenceabstracts.com/IISE2020.htm</w:t>
        </w:r>
      </w:hyperlink>
    </w:p>
    <w:p w14:paraId="7C475FAB" w14:textId="6E538A7A" w:rsidR="00D36964" w:rsidRDefault="007726F8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Website: </w:t>
      </w:r>
      <w:hyperlink r:id="rId7">
        <w:r>
          <w:rPr>
            <w:rStyle w:val="InternetLink"/>
            <w:rFonts w:ascii="Times New Roman" w:eastAsia="Times New Roman" w:hAnsi="Times New Roman" w:cs="Times New Roman"/>
            <w:color w:val="0000FF"/>
            <w:sz w:val="24"/>
            <w:szCs w:val="24"/>
          </w:rPr>
          <w:t>https://www.iise.org/Annual/</w:t>
        </w:r>
      </w:hyperlink>
    </w:p>
    <w:p w14:paraId="592E1024" w14:textId="77777777" w:rsidR="00D36964" w:rsidRDefault="00D369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2E1A01" w14:textId="15F4631C" w:rsidR="00D36964" w:rsidRDefault="007726F8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Dear colleagues,</w:t>
      </w:r>
    </w:p>
    <w:p w14:paraId="1EA88BE8" w14:textId="77777777" w:rsidR="00D36964" w:rsidRDefault="00D369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BFA34" w14:textId="5B8AD527" w:rsidR="00D36964" w:rsidRDefault="007726F8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Energy Systems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Institute of Industrial &amp; Systems Engineers (IISE) is sponsoring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Energy Systems Track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2020 IISE Annual Conference &amp; Expo. The conference is a forum for exchanging knowledge and discoveries in the industrial and systems engineerin</w:t>
      </w:r>
      <w:r>
        <w:rPr>
          <w:rFonts w:ascii="Times New Roman" w:eastAsia="Times New Roman" w:hAnsi="Times New Roman" w:cs="Times New Roman"/>
          <w:sz w:val="24"/>
          <w:szCs w:val="24"/>
        </w:rPr>
        <w:t>g research and practitioner communities. The 2020 IISE Annual Conference &amp; Expo will continue to integrate research and industry applications under one conference.</w:t>
      </w:r>
    </w:p>
    <w:p w14:paraId="3D8A7C33" w14:textId="77777777" w:rsidR="00D36964" w:rsidRDefault="00D369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B8C2B" w14:textId="44982ABB" w:rsidR="00D36964" w:rsidRDefault="007726F8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track chairs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Energy Systems Track</w:t>
      </w:r>
      <w:r>
        <w:rPr>
          <w:rFonts w:ascii="Times New Roman" w:eastAsia="Times New Roman" w:hAnsi="Times New Roman" w:cs="Times New Roman"/>
          <w:sz w:val="24"/>
          <w:szCs w:val="24"/>
        </w:rPr>
        <w:t>, we encourage you to contribute to the confere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and track by submitting a </w:t>
      </w:r>
      <w:r>
        <w:rPr>
          <w:rFonts w:ascii="Times New Roman" w:eastAsia="Times New Roman" w:hAnsi="Times New Roman" w:cs="Times New Roman"/>
          <w:sz w:val="24"/>
          <w:szCs w:val="24"/>
        </w:rPr>
        <w:t>one-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extended abstract (template provided on the abstract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submission website). Authors will be able to claim these works as refereed extended abstracts, which will be available on the conference website and can be cite</w:t>
      </w:r>
      <w:r>
        <w:rPr>
          <w:rFonts w:ascii="Times New Roman" w:eastAsia="Times New Roman" w:hAnsi="Times New Roman" w:cs="Times New Roman"/>
          <w:sz w:val="24"/>
          <w:szCs w:val="24"/>
        </w:rPr>
        <w:t>d. They will not be copyrighted or indexed in the official conference proceedings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z w:val="24"/>
          <w:szCs w:val="24"/>
        </w:rPr>
        <w:t>herefore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is no limitation on reusing extended abstract material for other purposes (e.g., toward the publication of journal papers or subsequent conference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oceedings). Extended abstracts are welcome in </w:t>
      </w:r>
      <w:r>
        <w:rPr>
          <w:rFonts w:ascii="Times New Roman" w:eastAsia="Times New Roman" w:hAnsi="Times New Roman" w:cs="Times New Roman"/>
          <w:sz w:val="24"/>
          <w:szCs w:val="24"/>
        </w:rPr>
        <w:t>any topic area that is related to energy systems. This includes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limited to the </w:t>
      </w:r>
      <w:r>
        <w:rPr>
          <w:rFonts w:ascii="Times New Roman" w:eastAsia="Times New Roman" w:hAnsi="Times New Roman" w:cs="Times New Roman"/>
          <w:sz w:val="24"/>
          <w:szCs w:val="24"/>
        </w:rPr>
        <w:t>following areas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D06B8" w14:textId="77777777" w:rsidR="00D36964" w:rsidRDefault="00D369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0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64"/>
        <w:gridCol w:w="4406"/>
      </w:tblGrid>
      <w:tr w:rsidR="00D36964" w:rsidRPr="007726F8" w14:paraId="15E87B08" w14:textId="77777777">
        <w:trPr>
          <w:trHeight w:val="3580"/>
          <w:jc w:val="center"/>
        </w:trPr>
        <w:tc>
          <w:tcPr>
            <w:tcW w:w="4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787840E" w14:textId="53ECCC15" w:rsidR="00D36964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Optimization of operations, planning, and design of energy systems</w:t>
            </w:r>
          </w:p>
          <w:p w14:paraId="7AE25BC8" w14:textId="5F9A453B" w:rsidR="00D36964" w:rsidRPr="007726F8" w:rsidRDefault="00D36964">
            <w:pPr>
              <w:jc w:val="both"/>
            </w:pPr>
          </w:p>
          <w:p w14:paraId="58E7EF22" w14:textId="3C5ECB6A" w:rsidR="00D36964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Use of data analytics to design, evaluate, control, and operate energy systems</w:t>
            </w:r>
          </w:p>
          <w:p w14:paraId="54CDBF58" w14:textId="1BAE7954" w:rsidR="00D36964" w:rsidRPr="007726F8" w:rsidRDefault="00D36964">
            <w:pPr>
              <w:jc w:val="both"/>
            </w:pPr>
          </w:p>
          <w:p w14:paraId="7432848F" w14:textId="0F713A80" w:rsidR="00D36964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Interdisciplinary research between energy systems and other systems</w:t>
            </w:r>
          </w:p>
          <w:p w14:paraId="511449E0" w14:textId="05DDEFB5" w:rsidR="00D36964" w:rsidRPr="007726F8" w:rsidRDefault="00D36964">
            <w:pPr>
              <w:jc w:val="both"/>
            </w:pPr>
          </w:p>
          <w:p w14:paraId="0BA13539" w14:textId="77777777" w:rsidR="00D36964" w:rsidRPr="007726F8" w:rsidRDefault="007726F8">
            <w:pPr>
              <w:jc w:val="both"/>
              <w:rPr>
                <w:rFonts w:ascii="Times New Roman" w:hAnsi="Times New Roman" w:cs="Times New Roman"/>
              </w:rPr>
            </w:pPr>
            <w:r w:rsidRPr="007726F8">
              <w:rPr>
                <w:rFonts w:ascii="Times New Roman" w:hAnsi="Times New Roman" w:cs="Times New Roman"/>
              </w:rPr>
              <w:t xml:space="preserve">Policy </w:t>
            </w:r>
            <w:r w:rsidRPr="007726F8">
              <w:rPr>
                <w:rFonts w:ascii="Times New Roman" w:hAnsi="Times New Roman" w:cs="Times New Roman"/>
              </w:rPr>
              <w:t xml:space="preserve">or regulatory </w:t>
            </w:r>
            <w:r w:rsidRPr="007726F8">
              <w:rPr>
                <w:rFonts w:ascii="Times New Roman" w:hAnsi="Times New Roman" w:cs="Times New Roman"/>
              </w:rPr>
              <w:t xml:space="preserve">evaluation </w:t>
            </w:r>
            <w:r w:rsidRPr="007726F8">
              <w:rPr>
                <w:rFonts w:ascii="Times New Roman" w:hAnsi="Times New Roman" w:cs="Times New Roman"/>
              </w:rPr>
              <w:t>of</w:t>
            </w:r>
            <w:r w:rsidRPr="007726F8">
              <w:rPr>
                <w:rFonts w:ascii="Times New Roman" w:hAnsi="Times New Roman" w:cs="Times New Roman"/>
              </w:rPr>
              <w:t xml:space="preserve"> energy systems</w:t>
            </w:r>
          </w:p>
          <w:p w14:paraId="74748B69" w14:textId="77777777" w:rsidR="007726F8" w:rsidRPr="007726F8" w:rsidRDefault="007726F8" w:rsidP="007726F8">
            <w:pPr>
              <w:jc w:val="both"/>
              <w:rPr>
                <w:rFonts w:ascii="Times New Roman" w:hAnsi="Times New Roman" w:cs="Times New Roman"/>
              </w:rPr>
            </w:pPr>
          </w:p>
          <w:p w14:paraId="4283955D" w14:textId="4D05D977" w:rsidR="007726F8" w:rsidRPr="007726F8" w:rsidRDefault="007726F8" w:rsidP="007726F8">
            <w:pPr>
              <w:jc w:val="both"/>
              <w:rPr>
                <w:rFonts w:ascii="Times New Roman" w:hAnsi="Times New Roman" w:cs="Times New Roman"/>
              </w:rPr>
            </w:pPr>
            <w:r w:rsidRPr="007726F8">
              <w:rPr>
                <w:rFonts w:ascii="Times New Roman" w:hAnsi="Times New Roman" w:cs="Times New Roman"/>
              </w:rPr>
              <w:t>Changing Business Model of the Energy Delivery Supply Chain,  </w:t>
            </w:r>
          </w:p>
          <w:p w14:paraId="1262EDD2" w14:textId="6F257909" w:rsidR="007726F8" w:rsidRPr="007726F8" w:rsidRDefault="007726F8">
            <w:pPr>
              <w:jc w:val="both"/>
            </w:pPr>
          </w:p>
        </w:tc>
        <w:tc>
          <w:tcPr>
            <w:tcW w:w="440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4A43CA" w14:textId="6D2E73EC" w:rsidR="00D36964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Economic aspects of renewable energy</w:t>
            </w:r>
          </w:p>
          <w:p w14:paraId="5417868E" w14:textId="2A221FC5" w:rsidR="00D36964" w:rsidRPr="007726F8" w:rsidRDefault="00D36964">
            <w:pPr>
              <w:jc w:val="both"/>
            </w:pPr>
          </w:p>
          <w:p w14:paraId="2591DE43" w14:textId="7A2985EE" w:rsidR="00D36964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Maintenance scheduling</w:t>
            </w:r>
          </w:p>
          <w:p w14:paraId="1BF078E1" w14:textId="16555A53" w:rsidR="00D36964" w:rsidRPr="007726F8" w:rsidRDefault="00D36964">
            <w:pPr>
              <w:jc w:val="both"/>
            </w:pPr>
          </w:p>
          <w:p w14:paraId="735A14BF" w14:textId="6376E12B" w:rsidR="00D36964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Energy efficiency and management</w:t>
            </w:r>
          </w:p>
          <w:p w14:paraId="61DAC863" w14:textId="62A90ABE" w:rsidR="00D36964" w:rsidRPr="007726F8" w:rsidRDefault="00D36964">
            <w:pPr>
              <w:jc w:val="both"/>
            </w:pPr>
          </w:p>
          <w:p w14:paraId="2146787A" w14:textId="59377D40" w:rsidR="00D36964" w:rsidRPr="007726F8" w:rsidRDefault="007726F8">
            <w:r w:rsidRPr="007726F8">
              <w:rPr>
                <w:rFonts w:ascii="Times New Roman" w:hAnsi="Times New Roman" w:cs="Times New Roman"/>
                <w:color w:val="000000"/>
              </w:rPr>
              <w:t>Resilienc</w:t>
            </w:r>
            <w:r w:rsidRPr="007726F8">
              <w:rPr>
                <w:rFonts w:ascii="Times New Roman" w:hAnsi="Times New Roman" w:cs="Times New Roman"/>
                <w:color w:val="000000"/>
              </w:rPr>
              <w:t>e</w:t>
            </w:r>
            <w:r w:rsidRPr="007726F8">
              <w:rPr>
                <w:rFonts w:ascii="Times New Roman" w:hAnsi="Times New Roman" w:cs="Times New Roman"/>
                <w:color w:val="000000"/>
              </w:rPr>
              <w:t xml:space="preserve"> and threat characterization of energy systems</w:t>
            </w:r>
          </w:p>
          <w:p w14:paraId="27889320" w14:textId="40CCEF25" w:rsidR="00D36964" w:rsidRPr="007726F8" w:rsidRDefault="00D36964">
            <w:pPr>
              <w:jc w:val="both"/>
            </w:pPr>
          </w:p>
          <w:p w14:paraId="19AE93D3" w14:textId="77777777" w:rsidR="00D36964" w:rsidRPr="007726F8" w:rsidRDefault="007726F8">
            <w:pPr>
              <w:jc w:val="both"/>
              <w:rPr>
                <w:rFonts w:ascii="Times New Roman" w:hAnsi="Times New Roman" w:cs="Times New Roman"/>
              </w:rPr>
            </w:pPr>
            <w:r w:rsidRPr="007726F8">
              <w:rPr>
                <w:rFonts w:ascii="Times New Roman" w:hAnsi="Times New Roman" w:cs="Times New Roman"/>
              </w:rPr>
              <w:t>Reliability, safety, and security of energy systems</w:t>
            </w:r>
          </w:p>
          <w:p w14:paraId="49CE1D24" w14:textId="77777777" w:rsidR="007726F8" w:rsidRPr="007726F8" w:rsidRDefault="007726F8">
            <w:pPr>
              <w:jc w:val="both"/>
              <w:rPr>
                <w:rFonts w:ascii="Times New Roman" w:hAnsi="Times New Roman" w:cs="Times New Roman"/>
              </w:rPr>
            </w:pPr>
          </w:p>
          <w:p w14:paraId="3D80EBF2" w14:textId="4B990E80" w:rsidR="007726F8" w:rsidRPr="007726F8" w:rsidRDefault="007726F8">
            <w:pPr>
              <w:jc w:val="both"/>
            </w:pPr>
            <w:r w:rsidRPr="007726F8">
              <w:rPr>
                <w:rFonts w:ascii="Times New Roman" w:hAnsi="Times New Roman" w:cs="Times New Roman"/>
              </w:rPr>
              <w:t>Analysis and optimization of energy processes</w:t>
            </w:r>
          </w:p>
        </w:tc>
      </w:tr>
    </w:tbl>
    <w:p w14:paraId="12C4ACC3" w14:textId="77777777" w:rsidR="00D36964" w:rsidRDefault="00D3696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479ED" w14:textId="18487F08" w:rsidR="00D36964" w:rsidRDefault="007726F8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Authors of accepted abstracts will be invited to present their work in a conference session. Regular sessions will be 80 minutes and have up to four presenters.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There are also opportunities to organize special sessions (e.g., tutorials, panels,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workshops). If you are interested in organizing such a session, please contact the track chairs by October 15, 2019.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encourage all presenters to submit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length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for the conference proceedings. The papers should contain methods and result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that are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significant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archival 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industrial and systems engineering community. Full papers have a six-page limit and will undergo a double-blind peer review process. All accepted papers will be copyrighted and indexed in the 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proceedings via ProQuest.</w:t>
      </w:r>
    </w:p>
    <w:p w14:paraId="78663EB4" w14:textId="77777777" w:rsidR="00D36964" w:rsidRDefault="00D3696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8075C8" w14:textId="303E032A" w:rsidR="00D36964" w:rsidRDefault="007726F8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Important deadlines:</w:t>
      </w:r>
    </w:p>
    <w:p w14:paraId="2C332CD5" w14:textId="560C3102" w:rsidR="00D36964" w:rsidRDefault="007726F8">
      <w:pPr>
        <w:numPr>
          <w:ilvl w:val="0"/>
          <w:numId w:val="1"/>
        </w:numPr>
        <w:spacing w:line="276" w:lineRule="auto"/>
        <w:ind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Abstract submission deadline: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8, 2019</w:t>
      </w:r>
    </w:p>
    <w:p w14:paraId="424BC38A" w14:textId="00BFF9B0" w:rsidR="00D36964" w:rsidRDefault="007726F8">
      <w:pPr>
        <w:numPr>
          <w:ilvl w:val="0"/>
          <w:numId w:val="1"/>
        </w:numPr>
        <w:spacing w:line="276" w:lineRule="auto"/>
        <w:ind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Notification of decision on abstract: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5, 2019</w:t>
      </w:r>
    </w:p>
    <w:p w14:paraId="6F996F01" w14:textId="5FDA9214" w:rsidR="00D36964" w:rsidRDefault="007726F8">
      <w:pPr>
        <w:numPr>
          <w:ilvl w:val="0"/>
          <w:numId w:val="1"/>
        </w:numPr>
        <w:spacing w:line="276" w:lineRule="auto"/>
        <w:ind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Paper submission deadline (optional but encouraged):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20, 2020</w:t>
      </w:r>
    </w:p>
    <w:p w14:paraId="6C446C73" w14:textId="59B15175" w:rsidR="00D36964" w:rsidRDefault="007726F8">
      <w:pPr>
        <w:numPr>
          <w:ilvl w:val="0"/>
          <w:numId w:val="1"/>
        </w:numPr>
        <w:spacing w:line="276" w:lineRule="auto"/>
        <w:ind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Notification of decision on paper: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24, 2020</w:t>
      </w:r>
    </w:p>
    <w:p w14:paraId="180177FB" w14:textId="028EEC0B" w:rsidR="00D36964" w:rsidRDefault="007726F8">
      <w:pPr>
        <w:numPr>
          <w:ilvl w:val="0"/>
          <w:numId w:val="1"/>
        </w:numPr>
        <w:spacing w:line="276" w:lineRule="auto"/>
        <w:ind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Paper final revision submission deadline: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13, 2020</w:t>
      </w:r>
    </w:p>
    <w:p w14:paraId="0B64A9EF" w14:textId="2D09BD18" w:rsidR="00D36964" w:rsidRDefault="007726F8">
      <w:pPr>
        <w:numPr>
          <w:ilvl w:val="0"/>
          <w:numId w:val="1"/>
        </w:numPr>
        <w:spacing w:line="276" w:lineRule="auto"/>
        <w:ind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Presenting author registration deadline: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13, 2020</w:t>
      </w:r>
    </w:p>
    <w:p w14:paraId="2FD7EFD2" w14:textId="77777777" w:rsidR="00D36964" w:rsidRDefault="00D3696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181566" w14:textId="77777777" w:rsidR="00D36964" w:rsidRDefault="007726F8">
      <w:pPr>
        <w:spacing w:after="18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your abstract or paper is accepted: (a) the presenting author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must register for the conference by March 13, 2020 (presentations/papers without the presenting author being registered for the conference will be withdrawn from the program and the proceedings); (b) the presenting author must attend and present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at the conference; and (c) we ask that you be ready to serve as a reviewer for other papers in the track and follow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the review deadlines.</w:t>
      </w:r>
    </w:p>
    <w:p w14:paraId="58F98FD1" w14:textId="77777777" w:rsidR="00D36964" w:rsidRDefault="007726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look forward to seeing you in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Orleans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90F33BE" w14:textId="77777777" w:rsidR="00D36964" w:rsidRDefault="00D369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0F2AA" w14:textId="77777777" w:rsidR="00D36964" w:rsidRDefault="007726F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 Regards,</w:t>
      </w:r>
    </w:p>
    <w:p w14:paraId="3F15BE0D" w14:textId="77777777" w:rsidR="000A1E76" w:rsidRDefault="000A1E76" w:rsidP="000A1E76">
      <w:pPr>
        <w:spacing w:line="276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Track chairs </w:t>
      </w:r>
    </w:p>
    <w:p w14:paraId="4028D748" w14:textId="77777777" w:rsidR="000A1E76" w:rsidRDefault="000A1E76" w:rsidP="000A1E76">
      <w:pPr>
        <w:pStyle w:val="ListParagraph"/>
        <w:numPr>
          <w:ilvl w:val="0"/>
          <w:numId w:val="3"/>
        </w:numPr>
        <w:spacing w:line="276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29787F">
        <w:rPr>
          <w:rFonts w:ascii="Times New Roman" w:eastAsia="Times New Roman" w:hAnsi="Times New Roman" w:cs="Times New Roman"/>
          <w:sz w:val="24"/>
          <w:szCs w:val="24"/>
        </w:rPr>
        <w:t>Mohammad Roni (</w:t>
      </w:r>
      <w:hyperlink r:id="rId8" w:history="1">
        <w:r w:rsidRPr="009C00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mohammad.roni@inl.gov</w:t>
        </w:r>
      </w:hyperlink>
      <w:r w:rsidRPr="0029787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87F">
        <w:rPr>
          <w:rFonts w:ascii="Times New Roman" w:eastAsia="Times New Roman" w:hAnsi="Times New Roman" w:cs="Times New Roman"/>
          <w:sz w:val="24"/>
          <w:szCs w:val="24"/>
        </w:rPr>
        <w:t>Idaho National Laboratory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9787F">
        <w:rPr>
          <w:rFonts w:ascii="Times New Roman" w:eastAsia="Times New Roman" w:hAnsi="Times New Roman" w:cs="Times New Roman"/>
          <w:sz w:val="24"/>
          <w:szCs w:val="24"/>
        </w:rPr>
        <w:t>Lead Coordinator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D7C7D5" w14:textId="77777777" w:rsidR="000A1E76" w:rsidRDefault="000A1E76" w:rsidP="000A1E76">
      <w:pPr>
        <w:pStyle w:val="ListParagraph"/>
        <w:numPr>
          <w:ilvl w:val="0"/>
          <w:numId w:val="3"/>
        </w:numPr>
        <w:spacing w:line="276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29787F">
        <w:rPr>
          <w:rFonts w:ascii="Times New Roman" w:eastAsia="Times New Roman" w:hAnsi="Times New Roman" w:cs="Times New Roman"/>
          <w:sz w:val="24"/>
          <w:szCs w:val="24"/>
        </w:rPr>
        <w:t>Ramteen Sioshansi (</w:t>
      </w:r>
      <w:hyperlink r:id="rId9" w:history="1">
        <w:r w:rsidRPr="009C00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sioshansi.1@osu.edu</w:t>
        </w:r>
      </w:hyperlink>
      <w:r w:rsidRPr="0029787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87F">
        <w:rPr>
          <w:rFonts w:ascii="Times New Roman" w:eastAsia="Times New Roman" w:hAnsi="Times New Roman" w:cs="Times New Roman"/>
          <w:sz w:val="24"/>
          <w:szCs w:val="24"/>
        </w:rPr>
        <w:t>The Ohio State University</w:t>
      </w:r>
    </w:p>
    <w:p w14:paraId="661A3F0C" w14:textId="77777777" w:rsidR="000A1E76" w:rsidRDefault="000A1E76" w:rsidP="000A1E76">
      <w:pPr>
        <w:pStyle w:val="ListParagraph"/>
        <w:numPr>
          <w:ilvl w:val="0"/>
          <w:numId w:val="3"/>
        </w:numPr>
        <w:spacing w:line="276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787F">
        <w:rPr>
          <w:rFonts w:ascii="Times New Roman" w:eastAsia="Times New Roman" w:hAnsi="Times New Roman" w:cs="Times New Roman"/>
          <w:sz w:val="24"/>
          <w:szCs w:val="24"/>
        </w:rPr>
        <w:t>Yongpei</w:t>
      </w:r>
      <w:proofErr w:type="spellEnd"/>
      <w:r w:rsidRPr="0029787F">
        <w:rPr>
          <w:rFonts w:ascii="Times New Roman" w:eastAsia="Times New Roman" w:hAnsi="Times New Roman" w:cs="Times New Roman"/>
          <w:sz w:val="24"/>
          <w:szCs w:val="24"/>
        </w:rPr>
        <w:t xml:space="preserve"> Guan</w:t>
      </w:r>
      <w:r w:rsidRPr="0029787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hyperlink r:id="rId10" w:history="1">
        <w:r w:rsidRPr="009C00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guan@ise.ufl.edu</w:t>
        </w:r>
      </w:hyperlink>
      <w:r w:rsidRPr="0029787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87F">
        <w:rPr>
          <w:rFonts w:ascii="Times New Roman" w:eastAsia="Times New Roman" w:hAnsi="Times New Roman" w:cs="Times New Roman"/>
          <w:sz w:val="24"/>
          <w:szCs w:val="24"/>
        </w:rPr>
        <w:t>University of Florida</w:t>
      </w:r>
    </w:p>
    <w:p w14:paraId="17F19531" w14:textId="77777777" w:rsidR="000A1E76" w:rsidRPr="0029787F" w:rsidRDefault="000A1E76" w:rsidP="000A1E76">
      <w:pPr>
        <w:pStyle w:val="ListParagraph"/>
        <w:numPr>
          <w:ilvl w:val="0"/>
          <w:numId w:val="3"/>
        </w:numPr>
        <w:spacing w:line="276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29787F">
        <w:rPr>
          <w:rFonts w:ascii="Times New Roman" w:eastAsia="Times New Roman" w:hAnsi="Times New Roman" w:cs="Times New Roman"/>
          <w:sz w:val="24"/>
          <w:szCs w:val="24"/>
        </w:rPr>
        <w:t>Elaine Johns (</w:t>
      </w:r>
      <w:hyperlink r:id="rId11" w:history="1">
        <w:r w:rsidRPr="009C00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elaine.johns@enervision-inc.com</w:t>
        </w:r>
      </w:hyperlink>
      <w:r w:rsidRPr="0029787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787F">
        <w:rPr>
          <w:rFonts w:ascii="Times New Roman" w:eastAsia="Times New Roman" w:hAnsi="Times New Roman" w:cs="Times New Roman"/>
          <w:sz w:val="24"/>
          <w:szCs w:val="24"/>
        </w:rPr>
        <w:t>EnerVision</w:t>
      </w:r>
      <w:proofErr w:type="spellEnd"/>
      <w:r w:rsidRPr="0029787F">
        <w:rPr>
          <w:rFonts w:ascii="Times New Roman" w:eastAsia="Times New Roman" w:hAnsi="Times New Roman" w:cs="Times New Roman"/>
          <w:sz w:val="24"/>
          <w:szCs w:val="24"/>
        </w:rPr>
        <w:t xml:space="preserve"> Inc.</w:t>
      </w:r>
    </w:p>
    <w:p w14:paraId="1BCD88EB" w14:textId="5280EC2C" w:rsidR="00D36964" w:rsidRDefault="00D36964">
      <w:pPr>
        <w:spacing w:line="276" w:lineRule="auto"/>
        <w:ind w:right="-990"/>
      </w:pPr>
    </w:p>
    <w:sectPr w:rsidR="00D36964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83"/>
    <w:multiLevelType w:val="hybridMultilevel"/>
    <w:tmpl w:val="4C4C98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06385"/>
    <w:multiLevelType w:val="multilevel"/>
    <w:tmpl w:val="628E6D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D193D"/>
    <w:multiLevelType w:val="multilevel"/>
    <w:tmpl w:val="CBB8DF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64"/>
    <w:rsid w:val="000A1E76"/>
    <w:rsid w:val="00106CA2"/>
    <w:rsid w:val="007726F8"/>
    <w:rsid w:val="00D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5548"/>
  <w15:docId w15:val="{FAE83030-91EC-4198-8920-76A5481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/>
      <w:jc w:val="center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sz w:val="24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WenQuanYi Zen Hei Sharp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roni@inl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ise.org/Annu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abstracts.com/IISE2020.htm" TargetMode="External"/><Relationship Id="rId11" Type="http://schemas.openxmlformats.org/officeDocument/2006/relationships/hyperlink" Target="mailto:elaine.johns@enervision-inc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uan@ise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oshansi.1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Roni</dc:creator>
  <dc:description/>
  <cp:lastModifiedBy>Mohammad S. Roni</cp:lastModifiedBy>
  <cp:revision>4</cp:revision>
  <dcterms:created xsi:type="dcterms:W3CDTF">2019-10-02T23:04:00Z</dcterms:created>
  <dcterms:modified xsi:type="dcterms:W3CDTF">2019-10-02T23:07:00Z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